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258450" w:type="dxa"/>
        <w:gridCol w:w="298650" w:type="dxa"/>
        <w:gridCol w:w="282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2584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2986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8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258450" w:type="pct"/>
            <w:gridSpan w:val="2"/>
          </w:tcPr>
          <w:p>
            <w:pPr/>
            <w:r>
              <w:rPr/>
              <w:t xml:space="preserve">2019-2025</w:t>
            </w:r>
          </w:p>
        </w:tc>
        <w:tc>
          <w:tcPr>
            <w:tcW w:w="298650" w:type="pct"/>
          </w:tcPr>
          <w:p>
            <w:pPr/>
            <w:r>
              <w:rPr/>
              <w:t xml:space="preserve">Evolución de los expedientes sancionadores tramitados en el departamento de Secretaría General    </w:t>
            </w:r>
          </w:p>
        </w:tc>
        <w:tc>
          <w:tcPr>
            <w:tcW w:w="282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2026-09-01T03:38:29+00:00</dcterms:created>
  <dcterms:modified xsi:type="dcterms:W3CDTF">2026-09-01T03:38:29+00:00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