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28400" w:type="dxa"/>
        <w:gridCol w:w="167850" w:type="dxa"/>
        <w:gridCol w:w="309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62840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167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091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5000" w:type="pct"/>
            <w:gridSpan w:val="2"/>
          </w:tcPr>
          <w:p>
            <w:pPr/>
            <w:r>
              <w:rPr/>
              <w:t xml:space="preserve">05/02/2026</w:t>
            </w:r>
          </w:p>
        </w:tc>
        <w:tc>
          <w:tcPr>
            <w:tcW w:w="167850" w:type="pct"/>
          </w:tcPr>
          <w:p>
            <w:pPr/>
            <w:r>
              <w:rPr/>
              <w:t xml:space="preserve">Coste campañas publicidad 2023, 2024 y 2025 y Presupuestado 2026</w:t>
            </w:r>
          </w:p>
        </w:tc>
        <w:tc>
          <w:tcPr>
            <w:tcW w:w="3091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2026-10-29T03:52:44+00:00</dcterms:created>
  <dcterms:modified xsi:type="dcterms:W3CDTF">2026-10-29T03:52:44+00:00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