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2"/>
      </w:pPr>
      <w:r>
        <w:rPr/>
        <w:t xml:space="preserve">Altos cargos</w:t>
      </w:r>
    </w:p>
    <w:p>
      <w:pPr/>
      <w:r>
        <w:rPr/>
        <w:t xml:space="preserve"> </w:t>
      </w:r>
    </w:p>
    <w:p>
      <w:pPr/>
      <w:r>
        <w:rPr/>
        <w:t xml:space="preserve">La Autoridad Portuaria de Valencia, en cuanto a materia de régimen de personal y retribuciones, está regulada en en el capítulo VI «Régimen de recursos humanos» del Texto Refundido de la Ley de Puertos del Estado y de la Marina Mercante, aprobado por  de 5 de septiembre.</w:t>
      </w:r>
    </w:p>
    <w:p>
      <w:pPr/>
      <w:r>
        <w:rPr/>
        <w:t xml:space="preserve">Tienen consideración de</w:t>
      </w:r>
      <w:r>
        <w:rPr>
          <w:i w:val="1"/>
          <w:iCs w:val="1"/>
        </w:rPr>
        <w:t xml:space="preserve"> altos cargos</w:t>
      </w:r>
      <w:r>
        <w:rPr/>
        <w:t xml:space="preserve">  «…los Presidentes y Directores de las Autoridades Portuarias..»., según la </w:t>
      </w:r>
    </w:p>
    <w:p>
      <w:pPr/>
      <w:r>
        <w:rPr/>
        <w:t xml:space="preserve">   </w:t>
      </w:r>
    </w:p>
    <w:p>
      <w:pPr/>
      <w:r>
        <w:rPr/>
        <w:t xml:space="preserve">- </w:t>
      </w:r>
      <w:r>
        <w:rPr>
          <w:b w:val="1"/>
          <w:bCs w:val="1"/>
        </w:rPr>
        <w:t xml:space="preserve">Presidenta</w:t>
      </w:r>
      <w:r>
        <w:rPr/>
        <w:t xml:space="preserve">: </w:t>
      </w:r>
    </w:p>
    <w:p>
      <w:pPr/>
      <w:r>
        <w:rPr/>
        <w:t xml:space="preserve"> </w:t>
      </w:r>
    </w:p>
    <w:p>
      <w:pPr/>
      <w:r>
        <w:rPr/>
        <w:t xml:space="preserve">- </w:t>
      </w:r>
      <w:r>
        <w:rPr>
          <w:b w:val="1"/>
          <w:bCs w:val="1"/>
        </w:rPr>
        <w:t xml:space="preserve">Director General: </w:t>
      </w:r>
    </w:p>
    <w:p>
      <w:pPr/>
      <w:r>
        <w:rPr/>
        <w:t xml:space="preserve"> </w:t>
      </w:r>
    </w:p>
    <w:p>
      <w:pPr>
        <w:pStyle w:val="Heading2"/>
      </w:pPr>
      <w:r>
        <w:rPr/>
        <w:t xml:space="preserve">Órganos</w:t>
      </w:r>
    </w:p>
    <w:p>
      <w:pPr/>
      <w:r>
        <w:rPr/>
        <w:t xml:space="preserve">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p>
      <w:pPr/>
      <w:r>
        <w:rPr/>
        <w:t xml:space="preserve"> en el que están representados el Ministerio de Transportes, Movilidad y Agenda Urbana, la Generalitat Valenciana, los Ayuntamientos de Valencia y Sagunto, Cámara de Comercio, Industria y Navegación, organizaciones empresariales y sindicales y sectores económicos relevantes en el ámbito portuario.</w:t>
      </w:r>
    </w:p>
    <w:p>
      <w:pPr/>
      <w:r>
        <w:rPr/>
        <w:t xml:space="preserve"> </w:t>
      </w:r>
    </w:p>
    <w:p>
      <w:pPr/>
      <w:r>
        <w:rPr/>
        <w:t xml:space="preserve">, creado al amparo de lo dispuesto en la Ley de Puertos del Estado y la Marina Mercante.</w:t>
      </w:r>
    </w:p>
    <w:p>
      <w:pPr/>
      <w:r>
        <w:rPr/>
        <w:t xml:space="preserve"> </w:t>
      </w:r>
    </w:p>
    <w:p>
      <w:pPr>
        <w:pStyle w:val="Heading2"/>
      </w:pPr>
      <w:r>
        <w:rPr/>
        <w:t xml:space="preserve">Organigrama</w:t>
      </w:r>
    </w:p>
    <w:p>
      <w:pPr/>
      <w:r>
        <w:rPr/>
        <w:t xml:space="preserve"> </w:t>
      </w:r>
    </w:p>
    <w:p>
      <w:pPr/>
    </w:p>
    <w:p>
      <w:pPr/>
      <w:r>
        <w:rPr/>
        <w:t xml:space="preserve"> </w:t>
      </w:r>
    </w:p>
    <w:p>
      <w:pPr>
        <w:pStyle w:val="Heading2"/>
      </w:pPr>
      <w:r>
        <w:rPr/>
        <w:t xml:space="preserve"> </w:t>
      </w:r>
    </w:p>
    <w:p>
      <w:pPr/>
      <w:r>
        <w:rPr/>
        <w:t xml:space="preserve"> </w:t>
      </w:r>
    </w:p>
    <w:p>
      <w:pPr>
        <w:pStyle w:val="Heading2"/>
      </w:pPr>
      <w:r>
        <w:rPr/>
        <w:t xml:space="preserve">Directorio</w:t>
      </w:r>
    </w:p>
    <w:p>
      <w:pPr/>
      <w:r>
        <w:rPr/>
        <w:t xml:space="preserve"> </w:t>
      </w:r>
    </w:p>
    <w:tbl>
      <w:tblGrid>
        <w:gridCol w:w="5000" w:type="dxa"/>
        <w:gridCol w:w="5000" w:type="dxa"/>
        <w:gridCol w:w="5000" w:type="dxa"/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  <w:shd w:val="clear" w:fill="0f47ae"/>
            <w:gridSpan w:val="4"/>
          </w:tcPr>
          <w:p>
            <w:pPr>
              <w:jc w:val="start"/>
            </w:pPr>
            <w:r>
              <w:rPr>
                <w:color w:val="ffffff"/>
                <w:sz w:val="21"/>
                <w:szCs w:val="21"/>
                <w:shd w:val="clear" w:fill="0f47ae"/>
              </w:rPr>
              <w:t xml:space="preserve">PRESIDENCIA</w:t>
            </w:r>
          </w:p>
        </w:tc>
      </w:tr>
      <w:tr>
        <w:trPr>
          <w:tblHeader w:val="1"/>
        </w:trPr>
        <w:tc>
          <w:tcPr>
            <w:tcW w:w="5000" w:type="pct"/>
            <w:shd w:val="clear" w:fill="e6e6e6"/>
          </w:tcPr>
          <w:p>
            <w:pPr>
              <w:jc w:val="start"/>
            </w:pPr>
            <w:r>
              <w:rPr>
                <w:sz w:val="21"/>
                <w:szCs w:val="21"/>
                <w:shd w:val="clear" w:fill="e6e6e6"/>
              </w:rPr>
              <w:t xml:space="preserve">Cargo</w:t>
            </w:r>
          </w:p>
        </w:tc>
        <w:tc>
          <w:tcPr>
            <w:tcW w:w="5000" w:type="pct"/>
            <w:shd w:val="clear" w:fill="e6e6e6"/>
          </w:tcPr>
          <w:p>
            <w:pPr>
              <w:jc w:val="start"/>
            </w:pPr>
            <w:r>
              <w:rPr>
                <w:sz w:val="21"/>
                <w:szCs w:val="21"/>
                <w:shd w:val="clear" w:fill="e6e6e6"/>
              </w:rPr>
              <w:t xml:space="preserve">Nombre</w:t>
            </w:r>
          </w:p>
        </w:tc>
        <w:tc>
          <w:tcPr>
            <w:tcW w:w="5000" w:type="pct"/>
            <w:shd w:val="clear" w:fill="e6e6e6"/>
          </w:tcPr>
          <w:p>
            <w:pPr>
              <w:jc w:val="start"/>
            </w:pPr>
            <w:r>
              <w:rPr>
                <w:sz w:val="21"/>
                <w:szCs w:val="21"/>
                <w:shd w:val="clear" w:fill="e6e6e6"/>
              </w:rPr>
              <w:t xml:space="preserve">Teléfono</w:t>
            </w:r>
          </w:p>
        </w:tc>
        <w:tc>
          <w:tcPr>
            <w:tcW w:w="5000" w:type="pct"/>
            <w:shd w:val="clear" w:fill="e6e6e6"/>
          </w:tcPr>
          <w:p>
            <w:pPr>
              <w:jc w:val="start"/>
            </w:pPr>
            <w:r>
              <w:rPr>
                <w:sz w:val="21"/>
                <w:szCs w:val="21"/>
                <w:shd w:val="clear" w:fill="e6e6e6"/>
              </w:rPr>
              <w:t xml:space="preserve">Correo electrónico</w:t>
            </w:r>
          </w:p>
        </w:tc>
      </w:tr>
      <w:tr>
        <w:trPr/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Presidenta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Mar Chao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96 3939510</w:t>
            </w:r>
          </w:p>
        </w:tc>
        <w:tc>
          <w:tcPr>
            <w:tcW w:w="5000" w:type="pct"/>
            <w:shd w:val="clear" w:fill="f4f4f4"/>
          </w:tcPr>
          <w:p>
            <w:pPr/>
          </w:p>
        </w:tc>
      </w:tr>
      <w:tr>
        <w:trPr/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Jefa de Gabinete de Presidencia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Marta Villalonga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96 3939510</w:t>
            </w:r>
          </w:p>
        </w:tc>
        <w:tc>
          <w:tcPr>
            <w:tcW w:w="5000" w:type="pct"/>
            <w:shd w:val="clear" w:fill="f4f4f4"/>
          </w:tcPr>
          <w:p>
            <w:pPr/>
          </w:p>
        </w:tc>
      </w:tr>
      <w:tr>
        <w:trPr/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Secretario General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Jorge Herrero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96 3939515</w:t>
            </w:r>
          </w:p>
        </w:tc>
        <w:tc>
          <w:tcPr>
            <w:tcW w:w="5000" w:type="pct"/>
            <w:shd w:val="clear" w:fill="f4f4f4"/>
          </w:tcPr>
          <w:p>
            <w:pPr/>
          </w:p>
        </w:tc>
      </w:tr>
      <w:tr>
        <w:trPr/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Jefe del Gabinete Técnico de Presidencia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Marcelo Burgos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-</w:t>
            </w:r>
          </w:p>
        </w:tc>
        <w:tc>
          <w:tcPr>
            <w:tcW w:w="5000" w:type="pct"/>
            <w:shd w:val="clear" w:fill="f4f4f4"/>
          </w:tcPr>
          <w:p>
            <w:pPr/>
          </w:p>
        </w:tc>
      </w:tr>
      <w:tr>
        <w:trPr/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Subdirectora de Gestión de Dominio Público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 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-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-</w:t>
            </w:r>
          </w:p>
        </w:tc>
      </w:tr>
      <w:tr>
        <w:trPr/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Subdirección Comercial y Desarrollo de Negocio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-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-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-</w:t>
            </w:r>
          </w:p>
        </w:tc>
      </w:tr>
      <w:tr>
        <w:trPr/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Jefa de Auditoría Interna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Isabel Romero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96 3939594</w:t>
            </w:r>
          </w:p>
        </w:tc>
        <w:tc>
          <w:tcPr>
            <w:tcW w:w="5000" w:type="pct"/>
            <w:shd w:val="clear" w:fill="f4f4f4"/>
          </w:tcPr>
          <w:p>
            <w:pPr/>
          </w:p>
        </w:tc>
      </w:tr>
      <w:tr>
        <w:trPr/>
        <w:tc>
          <w:tcPr>
            <w:tcW w:w="5000" w:type="pct"/>
            <w:shd w:val="clear" w:fill="0f47ae"/>
            <w:gridSpan w:val="4"/>
          </w:tcPr>
          <w:p>
            <w:pPr>
              <w:jc w:val="start"/>
            </w:pPr>
            <w:r>
              <w:rPr>
                <w:color w:val="ffffff"/>
                <w:sz w:val="21"/>
                <w:szCs w:val="21"/>
                <w:shd w:val="clear" w:fill="0f47ae"/>
              </w:rPr>
              <w:t xml:space="preserve">DIRECCIÓN GENERAL</w:t>
            </w:r>
          </w:p>
        </w:tc>
      </w:tr>
      <w:tr>
        <w:trPr/>
        <w:tc>
          <w:tcPr>
            <w:tcW w:w="5000" w:type="pct"/>
            <w:shd w:val="clear" w:fill="e6e6e6"/>
          </w:tcPr>
          <w:p>
            <w:pPr>
              <w:jc w:val="start"/>
            </w:pPr>
            <w:r>
              <w:rPr>
                <w:sz w:val="21"/>
                <w:szCs w:val="21"/>
                <w:shd w:val="clear" w:fill="e6e6e6"/>
              </w:rPr>
              <w:t xml:space="preserve">Cargo</w:t>
            </w:r>
          </w:p>
        </w:tc>
        <w:tc>
          <w:tcPr>
            <w:tcW w:w="5000" w:type="pct"/>
            <w:shd w:val="clear" w:fill="e6e6e6"/>
          </w:tcPr>
          <w:p>
            <w:pPr>
              <w:jc w:val="start"/>
            </w:pPr>
            <w:r>
              <w:rPr>
                <w:sz w:val="21"/>
                <w:szCs w:val="21"/>
                <w:shd w:val="clear" w:fill="e6e6e6"/>
              </w:rPr>
              <w:t xml:space="preserve">Nombre</w:t>
            </w:r>
          </w:p>
        </w:tc>
        <w:tc>
          <w:tcPr>
            <w:tcW w:w="5000" w:type="pct"/>
            <w:shd w:val="clear" w:fill="e6e6e6"/>
          </w:tcPr>
          <w:p>
            <w:pPr>
              <w:jc w:val="start"/>
            </w:pPr>
            <w:r>
              <w:rPr>
                <w:sz w:val="21"/>
                <w:szCs w:val="21"/>
                <w:shd w:val="clear" w:fill="e6e6e6"/>
              </w:rPr>
              <w:t xml:space="preserve">Teléfono</w:t>
            </w:r>
          </w:p>
        </w:tc>
        <w:tc>
          <w:tcPr>
            <w:tcW w:w="5000" w:type="pct"/>
            <w:shd w:val="clear" w:fill="e6e6e6"/>
          </w:tcPr>
          <w:p>
            <w:pPr>
              <w:jc w:val="start"/>
            </w:pPr>
            <w:r>
              <w:rPr>
                <w:sz w:val="21"/>
                <w:szCs w:val="21"/>
                <w:shd w:val="clear" w:fill="e6e6e6"/>
              </w:rPr>
              <w:t xml:space="preserve">Correo electrónico</w:t>
            </w:r>
          </w:p>
        </w:tc>
      </w:tr>
      <w:tr>
        <w:trPr/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Director General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Aurelio Acedo Aceña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-</w:t>
            </w:r>
          </w:p>
        </w:tc>
        <w:tc>
          <w:tcPr>
            <w:tcW w:w="5000" w:type="pct"/>
            <w:shd w:val="clear" w:fill="f4f4f4"/>
          </w:tcPr>
          <w:p>
            <w:pPr/>
          </w:p>
        </w:tc>
      </w:tr>
      <w:tr>
        <w:trPr/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Jefe de Gabinete de Dirección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Pablo Montero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96 3939477</w:t>
            </w:r>
          </w:p>
        </w:tc>
        <w:tc>
          <w:tcPr>
            <w:tcW w:w="5000" w:type="pct"/>
            <w:shd w:val="clear" w:fill="f4f4f4"/>
          </w:tcPr>
          <w:p>
            <w:pPr/>
          </w:p>
        </w:tc>
      </w:tr>
      <w:tr>
        <w:trPr/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Jefa de Plan de Empresa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Vanesa Cámara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 </w:t>
            </w:r>
          </w:p>
        </w:tc>
        <w:tc>
          <w:tcPr>
            <w:tcW w:w="5000" w:type="pct"/>
            <w:shd w:val="clear" w:fill="f4f4f4"/>
          </w:tcPr>
          <w:p>
            <w:pPr/>
          </w:p>
        </w:tc>
      </w:tr>
      <w:tr>
        <w:trPr/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Subdirectora de Infraestructuras, Instalaciones y Conservación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Manuela Gras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-</w:t>
            </w:r>
          </w:p>
        </w:tc>
        <w:tc>
          <w:tcPr>
            <w:tcW w:w="5000" w:type="pct"/>
            <w:shd w:val="clear" w:fill="f4f4f4"/>
          </w:tcPr>
          <w:p>
            <w:pPr/>
          </w:p>
        </w:tc>
      </w:tr>
      <w:tr>
        <w:trPr/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Subdirector de Explotación y Organización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 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-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-</w:t>
            </w:r>
          </w:p>
        </w:tc>
      </w:tr>
      <w:tr>
        <w:trPr/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Jefe de Operaciones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José Martín Tur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-</w:t>
            </w:r>
          </w:p>
        </w:tc>
        <w:tc>
          <w:tcPr>
            <w:tcW w:w="5000" w:type="pct"/>
            <w:shd w:val="clear" w:fill="f4f4f4"/>
          </w:tcPr>
          <w:p>
            <w:pPr/>
          </w:p>
        </w:tc>
      </w:tr>
      <w:tr>
        <w:trPr/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Jefe de Organización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Lorenzo Martín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-</w:t>
            </w:r>
          </w:p>
        </w:tc>
        <w:tc>
          <w:tcPr>
            <w:tcW w:w="5000" w:type="pct"/>
            <w:shd w:val="clear" w:fill="f4f4f4"/>
          </w:tcPr>
          <w:p>
            <w:pPr/>
          </w:p>
        </w:tc>
      </w:tr>
      <w:tr>
        <w:trPr/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Jefa de Compromiso Corporativo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Elena Oliver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96 3939553</w:t>
            </w:r>
          </w:p>
        </w:tc>
        <w:tc>
          <w:tcPr>
            <w:tcW w:w="5000" w:type="pct"/>
            <w:shd w:val="clear" w:fill="f4f4f4"/>
          </w:tcPr>
          <w:p>
            <w:pPr/>
          </w:p>
        </w:tc>
      </w:tr>
      <w:tr>
        <w:trPr/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Subdirector de Transformación Digital e Innovación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Francesc Sánchez Sánchez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96 3939500 ext.3130</w:t>
            </w:r>
          </w:p>
        </w:tc>
        <w:tc>
          <w:tcPr>
            <w:tcW w:w="5000" w:type="pct"/>
            <w:shd w:val="clear" w:fill="f4f4f4"/>
          </w:tcPr>
          <w:p>
            <w:pPr/>
          </w:p>
        </w:tc>
      </w:tr>
      <w:tr>
        <w:trPr/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Jefe de Transformación Digital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Victor Giner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96 3939291</w:t>
            </w:r>
          </w:p>
        </w:tc>
        <w:tc>
          <w:tcPr>
            <w:tcW w:w="5000" w:type="pct"/>
            <w:shd w:val="clear" w:fill="f4f4f4"/>
          </w:tcPr>
          <w:p>
            <w:pPr/>
          </w:p>
        </w:tc>
      </w:tr>
      <w:tr>
        <w:trPr/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Jefe de Innovación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Juan Manuel Díez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96 3939465</w:t>
            </w:r>
          </w:p>
        </w:tc>
        <w:tc>
          <w:tcPr>
            <w:tcW w:w="5000" w:type="pct"/>
            <w:shd w:val="clear" w:fill="f4f4f4"/>
          </w:tcPr>
          <w:p>
            <w:pPr/>
          </w:p>
        </w:tc>
      </w:tr>
      <w:tr>
        <w:trPr/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Jefe de Gestión Económico Financiera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Jose Antonio Morales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-</w:t>
            </w:r>
          </w:p>
        </w:tc>
        <w:tc>
          <w:tcPr>
            <w:tcW w:w="5000" w:type="pct"/>
            <w:shd w:val="clear" w:fill="f4f4f4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2026-10-29T03:00:52+00:00</dcterms:created>
  <dcterms:modified xsi:type="dcterms:W3CDTF">2026-10-29T03:00:52+00:00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