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350" w:type="dxa"/>
        <w:gridCol w:w="40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350" w:type="pct"/>
          </w:tcPr>
          <w:p>
            <w:pPr/>
            <w:r>
              <w:rPr/>
              <w:t xml:space="preserve">Valencia Plataforma Intermodal y Logística, S.A.</w:t>
            </w:r>
          </w:p>
        </w:tc>
        <w:tc>
          <w:tcPr>
            <w:tcW w:w="40200" w:type="pct"/>
          </w:tcPr>
          <w:p>
            <w:pPr/>
          </w:p>
        </w:tc>
      </w:tr>
      <w:tr>
        <w:trPr/>
        <w:tc>
          <w:tcPr>
            <w:tcW w:w="11350" w:type="pct"/>
          </w:tcPr>
          <w:p>
            <w:pPr/>
            <w:r>
              <w:rPr/>
              <w:t xml:space="preserve">Puerto Seco de Madrid, S.A.</w:t>
            </w:r>
          </w:p>
        </w:tc>
        <w:tc>
          <w:tcPr>
            <w:tcW w:w="402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Los presupuestos publicados continúan vigentes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2026-10-29T03:52:56+00:00</dcterms:created>
  <dcterms:modified xsi:type="dcterms:W3CDTF">2026-10-29T03:52:56+00:00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